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DF" w:rsidRPr="009959DF" w:rsidRDefault="009959DF" w:rsidP="009959DF">
      <w:pPr>
        <w:jc w:val="center"/>
        <w:rPr>
          <w:b/>
        </w:rPr>
      </w:pPr>
      <w:r w:rsidRPr="009959DF">
        <w:rPr>
          <w:b/>
        </w:rPr>
        <w:t>Сообщение о существенном факте об иных событиях (действиях), оказывающих, по мнению эмитента, существенное влияние на стоимость или котировки его ценных бумаг, Сообщение об инсайдерской информации</w:t>
      </w:r>
    </w:p>
    <w:p w:rsidR="009959DF" w:rsidRPr="00A8306A" w:rsidRDefault="009959DF" w:rsidP="009959DF">
      <w:pPr>
        <w:pStyle w:val="Default"/>
        <w:numPr>
          <w:ilvl w:val="0"/>
          <w:numId w:val="1"/>
        </w:numPr>
        <w:ind w:left="360" w:hanging="360"/>
        <w:jc w:val="center"/>
        <w:rPr>
          <w:rFonts w:asciiTheme="minorHAnsi" w:hAnsiTheme="minorHAnsi" w:cstheme="minorHAnsi"/>
          <w:sz w:val="22"/>
          <w:szCs w:val="22"/>
        </w:rPr>
      </w:pPr>
      <w:r w:rsidRPr="00A8306A">
        <w:rPr>
          <w:rFonts w:asciiTheme="minorHAnsi" w:hAnsiTheme="minorHAnsi" w:cstheme="minorHAnsi"/>
          <w:sz w:val="22"/>
          <w:szCs w:val="22"/>
        </w:rPr>
        <w:t>1. Общие сведения</w:t>
      </w:r>
    </w:p>
    <w:p w:rsidR="009959DF" w:rsidRPr="00A8306A" w:rsidRDefault="009959DF" w:rsidP="009959DF">
      <w:pPr>
        <w:pStyle w:val="Default"/>
        <w:jc w:val="both"/>
        <w:rPr>
          <w:rFonts w:asciiTheme="minorHAnsi" w:hAnsiTheme="minorHAnsi" w:cstheme="minorHAnsi"/>
          <w:sz w:val="22"/>
          <w:szCs w:val="22"/>
        </w:rPr>
      </w:pPr>
    </w:p>
    <w:p w:rsidR="009959DF" w:rsidRPr="00A8306A" w:rsidRDefault="009959DF" w:rsidP="009959DF">
      <w:pPr>
        <w:autoSpaceDE w:val="0"/>
        <w:autoSpaceDN w:val="0"/>
        <w:adjustRightInd w:val="0"/>
        <w:spacing w:after="0" w:line="240" w:lineRule="auto"/>
        <w:jc w:val="both"/>
        <w:rPr>
          <w:rFonts w:cstheme="minorHAnsi"/>
        </w:rPr>
      </w:pPr>
      <w:r w:rsidRPr="00A8306A">
        <w:rPr>
          <w:rFonts w:cstheme="minorHAnsi"/>
        </w:rPr>
        <w:t xml:space="preserve">1.1. Полное фирменное наименование эмитента: </w:t>
      </w:r>
      <w:r w:rsidRPr="00A8306A">
        <w:rPr>
          <w:rFonts w:cstheme="minorHAnsi"/>
          <w:b/>
          <w:bCs/>
          <w:i/>
        </w:rPr>
        <w:t xml:space="preserve">Публичное акционерное общество “Новолипецкий металлургический комбинат” </w:t>
      </w:r>
    </w:p>
    <w:p w:rsidR="009959DF" w:rsidRPr="00A8306A" w:rsidRDefault="009959DF" w:rsidP="009959DF">
      <w:pPr>
        <w:autoSpaceDE w:val="0"/>
        <w:autoSpaceDN w:val="0"/>
        <w:adjustRightInd w:val="0"/>
        <w:spacing w:after="0" w:line="240" w:lineRule="auto"/>
        <w:jc w:val="both"/>
        <w:rPr>
          <w:rFonts w:cstheme="minorHAnsi"/>
        </w:rPr>
      </w:pPr>
      <w:r w:rsidRPr="00A8306A">
        <w:rPr>
          <w:rFonts w:cstheme="minorHAnsi"/>
        </w:rPr>
        <w:t xml:space="preserve">1.2. Адрес эмитента, указанный в едином государственном реестре юридических лиц: </w:t>
      </w:r>
      <w:r w:rsidRPr="00A8306A">
        <w:rPr>
          <w:rFonts w:cstheme="minorHAnsi"/>
          <w:b/>
          <w:i/>
        </w:rPr>
        <w:t>398040, Липецкая область, г. Липецк, пл. Металлургов, д. 2</w:t>
      </w:r>
    </w:p>
    <w:p w:rsidR="009959DF" w:rsidRPr="00A8306A" w:rsidRDefault="009959DF" w:rsidP="009959DF">
      <w:pPr>
        <w:autoSpaceDE w:val="0"/>
        <w:autoSpaceDN w:val="0"/>
        <w:adjustRightInd w:val="0"/>
        <w:spacing w:after="0" w:line="240" w:lineRule="auto"/>
        <w:jc w:val="both"/>
        <w:rPr>
          <w:rFonts w:cstheme="minorHAnsi"/>
        </w:rPr>
      </w:pPr>
      <w:r w:rsidRPr="00A8306A">
        <w:rPr>
          <w:rFonts w:cstheme="minorHAnsi"/>
        </w:rPr>
        <w:t xml:space="preserve">1.3. Основной государственный регистрационный номер (ОГРН) эмитента (при наличии): </w:t>
      </w:r>
      <w:r w:rsidRPr="00A8306A">
        <w:rPr>
          <w:rFonts w:cstheme="minorHAnsi"/>
          <w:b/>
          <w:bCs/>
          <w:i/>
        </w:rPr>
        <w:t xml:space="preserve">1024800823123 </w:t>
      </w:r>
    </w:p>
    <w:p w:rsidR="009959DF" w:rsidRPr="00A8306A" w:rsidRDefault="009959DF" w:rsidP="009959DF">
      <w:pPr>
        <w:autoSpaceDE w:val="0"/>
        <w:autoSpaceDN w:val="0"/>
        <w:adjustRightInd w:val="0"/>
        <w:spacing w:after="0" w:line="240" w:lineRule="auto"/>
        <w:jc w:val="both"/>
        <w:rPr>
          <w:rFonts w:cstheme="minorHAnsi"/>
        </w:rPr>
      </w:pPr>
      <w:r w:rsidRPr="00A8306A">
        <w:rPr>
          <w:rFonts w:cstheme="minorHAnsi"/>
        </w:rPr>
        <w:t xml:space="preserve">1.4. Идентификационный номер налогоплательщика (ИНН) эмитента (при наличии): </w:t>
      </w:r>
      <w:r w:rsidRPr="00A8306A">
        <w:rPr>
          <w:rFonts w:cstheme="minorHAnsi"/>
          <w:b/>
          <w:bCs/>
          <w:i/>
        </w:rPr>
        <w:t>4823006703</w:t>
      </w:r>
      <w:r w:rsidRPr="00A8306A">
        <w:rPr>
          <w:rFonts w:cstheme="minorHAnsi"/>
          <w:b/>
          <w:bCs/>
        </w:rPr>
        <w:t xml:space="preserve"> </w:t>
      </w:r>
    </w:p>
    <w:p w:rsidR="009959DF" w:rsidRPr="00A8306A" w:rsidRDefault="009959DF" w:rsidP="009959DF">
      <w:pPr>
        <w:autoSpaceDE w:val="0"/>
        <w:autoSpaceDN w:val="0"/>
        <w:adjustRightInd w:val="0"/>
        <w:spacing w:after="0" w:line="240" w:lineRule="auto"/>
        <w:jc w:val="both"/>
        <w:rPr>
          <w:rFonts w:cstheme="minorHAnsi"/>
        </w:rPr>
      </w:pPr>
      <w:r w:rsidRPr="00A8306A">
        <w:rPr>
          <w:rFonts w:cstheme="minorHAnsi"/>
        </w:rPr>
        <w:t xml:space="preserve">1.5. Уникальный код эмитента, присвоенный Банком России: </w:t>
      </w:r>
      <w:r w:rsidRPr="00A8306A">
        <w:rPr>
          <w:rFonts w:cstheme="minorHAnsi"/>
          <w:b/>
          <w:bCs/>
          <w:i/>
        </w:rPr>
        <w:t>00102-A</w:t>
      </w:r>
    </w:p>
    <w:p w:rsidR="009959DF" w:rsidRPr="00A8306A" w:rsidRDefault="009959DF" w:rsidP="009959DF">
      <w:pPr>
        <w:autoSpaceDE w:val="0"/>
        <w:autoSpaceDN w:val="0"/>
        <w:adjustRightInd w:val="0"/>
        <w:spacing w:after="0" w:line="240" w:lineRule="auto"/>
        <w:jc w:val="both"/>
        <w:rPr>
          <w:rFonts w:cstheme="minorHAnsi"/>
        </w:rPr>
      </w:pPr>
      <w:r w:rsidRPr="00A8306A">
        <w:rPr>
          <w:rFonts w:cstheme="minorHAnsi"/>
        </w:rPr>
        <w:t xml:space="preserve">1.6. Адрес страницы в сети "Интернет", используемой эмитентом для раскрытия информации: </w:t>
      </w:r>
      <w:r w:rsidRPr="00A8306A">
        <w:rPr>
          <w:rStyle w:val="SUBST"/>
          <w:rFonts w:cstheme="minorHAnsi"/>
        </w:rPr>
        <w:t>http://www.nlmk.</w:t>
      </w:r>
      <w:r w:rsidRPr="00A8306A">
        <w:rPr>
          <w:rStyle w:val="SUBST"/>
          <w:rFonts w:cstheme="minorHAnsi"/>
          <w:lang w:val="en-US"/>
        </w:rPr>
        <w:t>com</w:t>
      </w:r>
      <w:r w:rsidRPr="00A8306A">
        <w:rPr>
          <w:rStyle w:val="SUBST"/>
          <w:rFonts w:cstheme="minorHAnsi"/>
        </w:rPr>
        <w:t xml:space="preserve">; </w:t>
      </w:r>
      <w:r w:rsidRPr="00A8306A">
        <w:rPr>
          <w:rFonts w:cstheme="minorHAnsi"/>
          <w:b/>
          <w:i/>
        </w:rPr>
        <w:t>http://www.e-disclosure.ru/portal/company.aspx?id=2509</w:t>
      </w:r>
    </w:p>
    <w:p w:rsidR="009959DF" w:rsidRPr="00A8306A" w:rsidRDefault="009959DF" w:rsidP="009959DF">
      <w:pPr>
        <w:autoSpaceDE w:val="0"/>
        <w:autoSpaceDN w:val="0"/>
        <w:adjustRightInd w:val="0"/>
        <w:spacing w:after="0" w:line="240" w:lineRule="auto"/>
        <w:jc w:val="both"/>
        <w:rPr>
          <w:rFonts w:cstheme="minorHAnsi"/>
        </w:rPr>
      </w:pPr>
      <w:r w:rsidRPr="00A8306A">
        <w:rPr>
          <w:rFonts w:cstheme="minorHAnsi"/>
        </w:rPr>
        <w:t xml:space="preserve">1.7. Дата наступления события (существенного факта), о котором составлено сообщение: </w:t>
      </w:r>
      <w:r w:rsidRPr="00A8306A">
        <w:rPr>
          <w:rFonts w:cstheme="minorHAnsi"/>
          <w:b/>
          <w:i/>
        </w:rPr>
        <w:t>0</w:t>
      </w:r>
      <w:r w:rsidR="0048297C">
        <w:rPr>
          <w:rFonts w:cstheme="minorHAnsi"/>
          <w:b/>
          <w:i/>
        </w:rPr>
        <w:t>1 июл</w:t>
      </w:r>
      <w:r w:rsidRPr="00A8306A">
        <w:rPr>
          <w:rFonts w:cstheme="minorHAnsi"/>
          <w:b/>
          <w:i/>
        </w:rPr>
        <w:t>я 2022 года</w:t>
      </w:r>
      <w:r w:rsidRPr="00A8306A">
        <w:rPr>
          <w:rFonts w:cstheme="minorHAnsi"/>
        </w:rPr>
        <w:t xml:space="preserve"> </w:t>
      </w:r>
    </w:p>
    <w:p w:rsidR="009959DF" w:rsidRDefault="009959DF" w:rsidP="009959DF"/>
    <w:p w:rsidR="009959DF" w:rsidRDefault="009959DF" w:rsidP="009959DF">
      <w:pPr>
        <w:jc w:val="both"/>
      </w:pPr>
      <w:r>
        <w:t>2. Содержание сообщения</w:t>
      </w:r>
    </w:p>
    <w:p w:rsidR="009959DF" w:rsidRDefault="009959DF" w:rsidP="009959DF">
      <w:pPr>
        <w:spacing w:after="0" w:line="240" w:lineRule="auto"/>
        <w:jc w:val="both"/>
      </w:pPr>
      <w:r>
        <w:t xml:space="preserve">2.1. Краткое описание события (действия), наступление (совершение) которого, по мнению эмитента, оказывает влияние на стоимость или котировки его ценных бумаг: </w:t>
      </w:r>
    </w:p>
    <w:p w:rsidR="009959DF" w:rsidRPr="009959DF" w:rsidRDefault="009959DF" w:rsidP="009959DF">
      <w:pPr>
        <w:spacing w:after="0" w:line="240" w:lineRule="auto"/>
        <w:jc w:val="both"/>
        <w:rPr>
          <w:b/>
          <w:i/>
        </w:rPr>
      </w:pPr>
      <w:r w:rsidRPr="009959DF">
        <w:rPr>
          <w:b/>
          <w:i/>
        </w:rPr>
        <w:t>Раскрытие информации, направляемой (представляемой) органу (организации), регулирующему рынок иностранных ценных бумаг, иностранному организатору торговли и (или) иным организациям в соответствии с иностранным правом для целей ее раскрытия среди иностранных инвесторов.</w:t>
      </w:r>
    </w:p>
    <w:p w:rsidR="009959DF" w:rsidRPr="00784068" w:rsidRDefault="009959DF" w:rsidP="009959DF">
      <w:pPr>
        <w:spacing w:after="0" w:line="240" w:lineRule="auto"/>
        <w:jc w:val="both"/>
      </w:pPr>
      <w:r w:rsidRPr="00784068">
        <w:t>Пресс-релиз</w:t>
      </w:r>
    </w:p>
    <w:p w:rsidR="009959DF" w:rsidRDefault="00784068" w:rsidP="009959DF">
      <w:pPr>
        <w:spacing w:after="0" w:line="240" w:lineRule="auto"/>
        <w:jc w:val="both"/>
      </w:pPr>
      <w:r w:rsidRPr="00742D43">
        <w:t>01 июля</w:t>
      </w:r>
      <w:r w:rsidR="009959DF" w:rsidRPr="00742D43">
        <w:t xml:space="preserve"> 2022 года</w:t>
      </w:r>
    </w:p>
    <w:p w:rsidR="0015441E" w:rsidRPr="00784068" w:rsidRDefault="0015441E" w:rsidP="009959DF">
      <w:pPr>
        <w:spacing w:after="0" w:line="240" w:lineRule="auto"/>
        <w:jc w:val="both"/>
      </w:pPr>
      <w:r w:rsidRPr="0015441E">
        <w:t>Группа НЛМК провела годовое общее собрание акционеров</w:t>
      </w:r>
    </w:p>
    <w:p w:rsidR="00784068" w:rsidRDefault="00784068" w:rsidP="00784068">
      <w:pPr>
        <w:spacing w:after="0" w:line="240" w:lineRule="auto"/>
        <w:jc w:val="both"/>
      </w:pPr>
      <w:r>
        <w:t xml:space="preserve">Акционеры ПАО «НЛМК» на состоявшемся 30 июня 2022 года годовом общем собрании в соответствии с рекомендацией Совета директоров приняли решение не выплачивать дивиденды по результатам 2021 года. </w:t>
      </w:r>
    </w:p>
    <w:p w:rsidR="009959DF" w:rsidRDefault="00784068" w:rsidP="00784068">
      <w:pPr>
        <w:spacing w:after="0" w:line="240" w:lineRule="auto"/>
        <w:jc w:val="both"/>
      </w:pPr>
      <w:r>
        <w:t>Собранием были утверждены годовой отчет и финансовая отчетность Группы НЛМК за 2021 год, избран Совет директоров в новом составе, подтверждены полномочия текущего Президента компании. Акционеры также одобрили выплату вознаграждения членам Совета директоров и утвердили внешнего аудитора.</w:t>
      </w:r>
    </w:p>
    <w:p w:rsidR="00784068" w:rsidRDefault="00784068" w:rsidP="00784068">
      <w:pPr>
        <w:spacing w:after="0" w:line="240" w:lineRule="auto"/>
        <w:jc w:val="both"/>
      </w:pPr>
    </w:p>
    <w:p w:rsidR="009959DF" w:rsidRDefault="009959DF" w:rsidP="009959DF">
      <w:pPr>
        <w:spacing w:after="0" w:line="240" w:lineRule="auto"/>
        <w:jc w:val="both"/>
      </w:pPr>
      <w:r>
        <w:t xml:space="preserve">2.2. 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 </w:t>
      </w:r>
      <w:r w:rsidRPr="009959DF">
        <w:rPr>
          <w:b/>
          <w:i/>
        </w:rPr>
        <w:t>не применимо</w:t>
      </w:r>
    </w:p>
    <w:p w:rsidR="009959DF" w:rsidRDefault="009959DF" w:rsidP="009959DF">
      <w:pPr>
        <w:spacing w:after="0" w:line="240" w:lineRule="auto"/>
        <w:jc w:val="both"/>
      </w:pPr>
    </w:p>
    <w:p w:rsidR="009959DF" w:rsidRDefault="009959DF" w:rsidP="009959DF">
      <w:pPr>
        <w:spacing w:after="0" w:line="240" w:lineRule="auto"/>
        <w:jc w:val="both"/>
      </w:pPr>
      <w:r>
        <w:t xml:space="preserve">2.3. 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 </w:t>
      </w:r>
      <w:r w:rsidRPr="009959DF">
        <w:rPr>
          <w:b/>
          <w:i/>
        </w:rPr>
        <w:t>Решение годового общего собрания акционеров ПАО «НЛМК» от 30.06.2022, Протокол № 66 от 30.06.2022.</w:t>
      </w:r>
      <w:r>
        <w:t xml:space="preserve"> </w:t>
      </w:r>
      <w:r w:rsidR="00C02C3C" w:rsidRPr="00C02C3C">
        <w:rPr>
          <w:b/>
          <w:i/>
        </w:rPr>
        <w:t>Содержание принятого решения раскрыто в п.2.1.</w:t>
      </w:r>
    </w:p>
    <w:p w:rsidR="009959DF" w:rsidRDefault="009959DF" w:rsidP="009959DF">
      <w:pPr>
        <w:spacing w:after="0" w:line="240" w:lineRule="auto"/>
        <w:jc w:val="both"/>
      </w:pPr>
    </w:p>
    <w:p w:rsidR="009959DF" w:rsidRDefault="009959DF" w:rsidP="009959DF">
      <w:pPr>
        <w:spacing w:after="0" w:line="240" w:lineRule="auto"/>
        <w:jc w:val="both"/>
      </w:pPr>
      <w:r>
        <w:t xml:space="preserve">2.4. 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w:t>
      </w:r>
      <w:r>
        <w:lastRenderedPageBreak/>
        <w:t xml:space="preserve">выпуска (дополнительного выпуска) ценных бумаг и дата его регистрации: </w:t>
      </w:r>
      <w:r w:rsidRPr="009959DF">
        <w:rPr>
          <w:b/>
          <w:i/>
        </w:rPr>
        <w:t>акции обыкновенные именные бездокументарные, государственный регистрационный номер 1-01-00102-А от 09.04.2004 г.</w:t>
      </w:r>
    </w:p>
    <w:p w:rsidR="009959DF" w:rsidRDefault="009959DF" w:rsidP="009959DF">
      <w:pPr>
        <w:spacing w:after="0" w:line="240" w:lineRule="auto"/>
        <w:jc w:val="both"/>
      </w:pPr>
    </w:p>
    <w:p w:rsidR="009959DF" w:rsidRDefault="009959DF" w:rsidP="009959DF">
      <w:pPr>
        <w:spacing w:after="0" w:line="240" w:lineRule="auto"/>
        <w:jc w:val="both"/>
      </w:pPr>
      <w:r>
        <w:t xml:space="preserve">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 </w:t>
      </w:r>
      <w:r w:rsidRPr="009959DF">
        <w:rPr>
          <w:b/>
          <w:i/>
        </w:rPr>
        <w:t>0</w:t>
      </w:r>
      <w:r w:rsidR="00D925B9">
        <w:rPr>
          <w:b/>
          <w:i/>
        </w:rPr>
        <w:t>1 июл</w:t>
      </w:r>
      <w:bookmarkStart w:id="0" w:name="_GoBack"/>
      <w:bookmarkEnd w:id="0"/>
      <w:r w:rsidRPr="009959DF">
        <w:rPr>
          <w:b/>
          <w:i/>
        </w:rPr>
        <w:t>я 2022 года</w:t>
      </w:r>
    </w:p>
    <w:p w:rsidR="009959DF" w:rsidRDefault="009959DF" w:rsidP="009959DF">
      <w:pPr>
        <w:spacing w:after="0" w:line="240" w:lineRule="auto"/>
        <w:jc w:val="both"/>
      </w:pPr>
      <w:r>
        <w:t xml:space="preserve"> </w:t>
      </w:r>
    </w:p>
    <w:p w:rsidR="009959DF" w:rsidRDefault="009959DF" w:rsidP="009959DF">
      <w:pPr>
        <w:spacing w:after="0" w:line="240" w:lineRule="auto"/>
        <w:jc w:val="center"/>
      </w:pPr>
      <w:r>
        <w:t>3. Подпись</w:t>
      </w:r>
    </w:p>
    <w:p w:rsidR="009959DF" w:rsidRDefault="009959DF" w:rsidP="009959DF">
      <w:pPr>
        <w:spacing w:after="0" w:line="240" w:lineRule="auto"/>
        <w:jc w:val="center"/>
      </w:pPr>
    </w:p>
    <w:p w:rsidR="009959DF" w:rsidRPr="009959DF" w:rsidRDefault="009959DF" w:rsidP="009959DF">
      <w:pPr>
        <w:spacing w:after="0" w:line="240" w:lineRule="auto"/>
        <w:jc w:val="both"/>
        <w:rPr>
          <w:b/>
          <w:i/>
        </w:rPr>
      </w:pPr>
      <w:r>
        <w:t xml:space="preserve">3.1. </w:t>
      </w:r>
      <w:r w:rsidRPr="009959DF">
        <w:rPr>
          <w:b/>
          <w:i/>
        </w:rPr>
        <w:t xml:space="preserve">Уполномоченный представитель </w:t>
      </w:r>
    </w:p>
    <w:p w:rsidR="009959DF" w:rsidRPr="009959DF" w:rsidRDefault="009959DF" w:rsidP="009959DF">
      <w:pPr>
        <w:spacing w:after="0" w:line="240" w:lineRule="auto"/>
        <w:jc w:val="both"/>
        <w:rPr>
          <w:b/>
          <w:i/>
        </w:rPr>
      </w:pPr>
      <w:r w:rsidRPr="009959DF">
        <w:rPr>
          <w:b/>
          <w:i/>
        </w:rPr>
        <w:t xml:space="preserve">ПАО “НЛМК” на основании </w:t>
      </w:r>
    </w:p>
    <w:p w:rsidR="009959DF" w:rsidRPr="009959DF" w:rsidRDefault="009959DF" w:rsidP="009959DF">
      <w:pPr>
        <w:spacing w:after="0" w:line="240" w:lineRule="auto"/>
        <w:jc w:val="both"/>
        <w:rPr>
          <w:b/>
          <w:i/>
        </w:rPr>
      </w:pPr>
      <w:r w:rsidRPr="009959DF">
        <w:rPr>
          <w:b/>
          <w:i/>
        </w:rPr>
        <w:t xml:space="preserve">доверенности от 22.12.2021 г. </w:t>
      </w:r>
    </w:p>
    <w:p w:rsidR="009959DF" w:rsidRDefault="009959DF" w:rsidP="009959DF">
      <w:pPr>
        <w:spacing w:after="0" w:line="240" w:lineRule="auto"/>
        <w:jc w:val="both"/>
      </w:pPr>
      <w:r w:rsidRPr="009959DF">
        <w:rPr>
          <w:b/>
          <w:i/>
        </w:rPr>
        <w:t>№ ДОВ-СО-1010-497/2021</w:t>
      </w:r>
      <w:r>
        <w:t xml:space="preserve">                                           </w:t>
      </w:r>
      <w:r w:rsidRPr="009959DF">
        <w:rPr>
          <w:b/>
          <w:i/>
        </w:rPr>
        <w:t xml:space="preserve">_____________________              </w:t>
      </w:r>
      <w:r>
        <w:rPr>
          <w:b/>
          <w:i/>
        </w:rPr>
        <w:t xml:space="preserve">                       </w:t>
      </w:r>
      <w:r w:rsidRPr="009959DF">
        <w:rPr>
          <w:b/>
          <w:i/>
        </w:rPr>
        <w:t>В.А. Лоскутов</w:t>
      </w:r>
      <w:r>
        <w:t xml:space="preserve"> </w:t>
      </w:r>
    </w:p>
    <w:p w:rsidR="009959DF" w:rsidRDefault="009959DF" w:rsidP="009959DF">
      <w:pPr>
        <w:spacing w:after="0" w:line="240" w:lineRule="auto"/>
        <w:jc w:val="both"/>
      </w:pPr>
      <w:r>
        <w:t xml:space="preserve">                                                                                                      (подпись) </w:t>
      </w:r>
    </w:p>
    <w:p w:rsidR="009959DF" w:rsidRDefault="009959DF" w:rsidP="009959DF">
      <w:pPr>
        <w:spacing w:after="0" w:line="240" w:lineRule="auto"/>
        <w:jc w:val="both"/>
      </w:pPr>
    </w:p>
    <w:p w:rsidR="005826E6" w:rsidRDefault="009959DF" w:rsidP="009959DF">
      <w:pPr>
        <w:spacing w:after="0" w:line="240" w:lineRule="auto"/>
        <w:jc w:val="both"/>
      </w:pPr>
      <w:r>
        <w:t xml:space="preserve">3.2. Дата </w:t>
      </w:r>
      <w:r w:rsidR="00784068" w:rsidRPr="00784068">
        <w:t>“01</w:t>
      </w:r>
      <w:r w:rsidR="00784068">
        <w:t>” июл</w:t>
      </w:r>
      <w:r w:rsidRPr="00784068">
        <w:t>я</w:t>
      </w:r>
      <w:r>
        <w:t xml:space="preserve"> 2022 года       </w:t>
      </w:r>
    </w:p>
    <w:sectPr w:rsidR="005826E6" w:rsidSect="009959D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9F627"/>
    <w:multiLevelType w:val="hybridMultilevel"/>
    <w:tmpl w:val="5F00197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4C"/>
    <w:rsid w:val="0015441E"/>
    <w:rsid w:val="0048297C"/>
    <w:rsid w:val="005826E6"/>
    <w:rsid w:val="005E42B0"/>
    <w:rsid w:val="00742D43"/>
    <w:rsid w:val="00784068"/>
    <w:rsid w:val="00861D4C"/>
    <w:rsid w:val="009959DF"/>
    <w:rsid w:val="00BB08F6"/>
    <w:rsid w:val="00C02C3C"/>
    <w:rsid w:val="00D9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079E1-C7E4-48A9-9331-268F8B93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959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ST">
    <w:name w:val="__SUBST"/>
    <w:uiPriority w:val="99"/>
    <w:rsid w:val="009959DF"/>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632</Words>
  <Characters>3606</Characters>
  <Application>Microsoft Office Word</Application>
  <DocSecurity>0</DocSecurity>
  <Lines>30</Lines>
  <Paragraphs>8</Paragraphs>
  <ScaleCrop>false</ScaleCrop>
  <Company>ОАО "НЛМК"</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2022-06-28T08:04:00Z</dcterms:created>
  <dcterms:modified xsi:type="dcterms:W3CDTF">2022-06-30T15:06:00Z</dcterms:modified>
</cp:coreProperties>
</file>